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7"/>
        <w:jc w:val="right"/>
        <w:spacing w:before="0" w:after="0" w:afterAutospacing="0" w:line="276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№1 к Техническим требованиям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617"/>
        <w:jc w:val="right"/>
        <w:spacing w:before="0"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1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17"/>
        <w:ind w:left="-108" w:right="-108" w:firstLine="0"/>
        <w:jc w:val="center"/>
        <w:spacing w:before="60" w:after="60" w:line="240" w:lineRule="auto"/>
        <w:rPr>
          <w:color w:val="000000" w:themeColor="text1"/>
          <w:highlight w:val="none"/>
          <w:shd w:val="clear" w:color="auto" w:fill="auto"/>
        </w:rPr>
      </w:pPr>
      <w:r>
        <w:rPr>
          <w:rFonts w:ascii="Times New Roman" w:hAnsi="Times New Roman" w:eastAsia="Calibri" w:cs="Times New Roman"/>
          <w:b/>
          <w:bCs/>
          <w:i w:val="0"/>
          <w:iCs w:val="0"/>
          <w:color w:val="000000" w:themeColor="text1"/>
          <w:sz w:val="28"/>
          <w:szCs w:val="28"/>
          <w:shd w:val="clear" w:color="auto" w:fill="auto"/>
          <w:lang w:eastAsia="ru-RU"/>
        </w:rPr>
        <w:t xml:space="preserve">«ОКПД2 42.91.20 Выполнение работ по ремонту ГТС на р. Кучелинова падь, р. Артeмовка, г. Артём»</w:t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617"/>
        <w:ind w:left="-108" w:right="-108" w:firstLine="0"/>
        <w:jc w:val="center"/>
        <w:spacing w:before="60" w:after="60" w:line="240" w:lineRule="auto"/>
        <w:rPr>
          <w:rFonts w:ascii="Times New Roman" w:hAnsi="Times New Roman" w:cs="Times New Roman"/>
          <w:bCs/>
          <w:i/>
          <w:sz w:val="22"/>
          <w:szCs w:val="22"/>
          <w:highlight w:val="none"/>
          <w:shd w:val="clear" w:color="auto" w:fill="ffff00"/>
        </w:rPr>
      </w:pPr>
      <w:r>
        <w:rPr>
          <w:rFonts w:ascii="Times New Roman" w:hAnsi="Times New Roman" w:cs="Times New Roman"/>
          <w:bCs/>
          <w:i/>
          <w:sz w:val="22"/>
          <w:szCs w:val="22"/>
          <w:shd w:val="clear" w:color="auto" w:fill="ffff00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  <w:shd w:val="clear" w:color="auto" w:fill="ffff00"/>
        </w:rPr>
      </w:r>
    </w:p>
    <w:p>
      <w:pPr>
        <w:pStyle w:val="617"/>
        <w:jc w:val="center"/>
        <w:rPr>
          <w:rFonts w:ascii="Times New Roman" w:hAnsi="Times New Roman" w:cs="Times New Roman"/>
          <w:highlight w:val="white"/>
          <w:shd w:val="clear" w:color="auto" w:fill="ffff00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  <w:shd w:val="clear" w:color="auto" w:fill="ffff00"/>
        </w:rPr>
        <w:t xml:space="preserve">Лот №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highlight w:val="white"/>
          <w:shd w:val="clear" w:color="auto" w:fill="ffff00"/>
        </w:rPr>
        <w:t xml:space="preserve">11041020-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highlight w:val="white"/>
        </w:rPr>
        <w:t xml:space="preserve">РЕМ ПРОД-2026-ДГК-АрТЭЦ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white"/>
          <w:shd w:val="clear" w:color="auto" w:fill="ffff00"/>
        </w:rPr>
      </w:r>
      <w:r>
        <w:rPr>
          <w:rFonts w:ascii="Times New Roman" w:hAnsi="Times New Roman" w:cs="Times New Roman"/>
          <w:highlight w:val="white"/>
          <w:shd w:val="clear" w:color="auto" w:fill="ffff00"/>
        </w:rPr>
      </w:r>
    </w:p>
    <w:p>
      <w:pPr>
        <w:pStyle w:val="617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  <w:shd w:val="clear" w:color="auto" w:fill="ffff00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00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  <w:shd w:val="clear" w:color="auto" w:fill="ffff00"/>
        </w:rPr>
      </w:r>
    </w:p>
    <w:p>
      <w:pPr>
        <w:pStyle w:val="617"/>
        <w:jc w:val="center"/>
        <w:rPr>
          <w:rFonts w:asciiTheme="minorHAnsi" w:hAnsiTheme="minorHAnsi" w:eastAsiaTheme="minorHAnsi" w:cstheme="minorBidi"/>
          <w:highlight w:val="none"/>
          <w:shd w:val="clear" w:color="auto" w:fill="auto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auto"/>
        </w:rPr>
        <w:t xml:space="preserve">Требования к оформлению и составлению документации по ценообразованию </w:t>
      </w:r>
      <w:r>
        <w:rPr>
          <w:rFonts w:asciiTheme="minorHAnsi" w:hAnsiTheme="minorHAnsi" w:eastAsiaTheme="minorHAnsi" w:cstheme="minorBidi"/>
          <w:highlight w:val="none"/>
          <w:shd w:val="clear" w:color="auto" w:fill="auto"/>
        </w:rPr>
      </w:r>
    </w:p>
    <w:p>
      <w:pPr>
        <w:pStyle w:val="617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auto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  <w:shd w:val="clear" w:color="auto" w:fill="auto"/>
        </w:rPr>
      </w:r>
    </w:p>
    <w:p>
      <w:pPr>
        <w:pStyle w:val="617"/>
        <w:ind w:left="0" w:right="0" w:firstLine="567"/>
        <w:jc w:val="both"/>
        <w:spacing w:before="0" w:beforeAutospacing="0" w:after="160" w:afterAutospacing="0" w:line="276" w:lineRule="auto"/>
        <w:widowControl/>
        <w:rPr>
          <w:rFonts w:asciiTheme="minorHAnsi" w:hAnsiTheme="minorHAnsi" w:eastAsiaTheme="minorHAnsi" w:cstheme="minorBidi"/>
          <w:highlight w:val="none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  <w:shd w:val="clear" w:color="auto" w:fill="auto"/>
        </w:rPr>
        <w:t xml:space="preserve">Сметная документация разработана Заказчиком (приложение №4 к настоящим Техническим требованиям) в программном комплексе «Гранд-СМЕТА», согласно следующим ценовым показателям (критериям):</w:t>
      </w:r>
      <w:r>
        <w:rPr>
          <w:rFonts w:asciiTheme="minorHAnsi" w:hAnsiTheme="minorHAnsi" w:eastAsiaTheme="minorHAnsi" w:cstheme="minorBidi"/>
          <w:highlight w:val="none"/>
          <w:shd w:val="clear" w:color="auto" w:fill="auto"/>
        </w:rPr>
      </w:r>
    </w:p>
    <w:p>
      <w:pPr>
        <w:pStyle w:val="617"/>
        <w:contextualSpacing/>
        <w:ind w:left="0" w:right="0" w:firstLine="0"/>
        <w:jc w:val="both"/>
        <w:spacing w:before="0" w:beforeAutospacing="0" w:after="0" w:line="276" w:lineRule="auto"/>
        <w:tabs>
          <w:tab w:val="clear" w:pos="708" w:leader="none"/>
          <w:tab w:val="left" w:pos="1134" w:leader="none"/>
        </w:tabs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auto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auto"/>
          <w:lang w:val="ru-RU" w:eastAsia="en-US" w:bidi="ar-SA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auto"/>
          <w:lang w:val="ru-RU" w:eastAsia="en-US" w:bidi="ar-SA"/>
        </w:rPr>
        <w:t xml:space="preserve">- ресурсно-индексным методом рес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auto"/>
          <w:lang w:val="ru-RU" w:eastAsia="en-US" w:bidi="ar-SA"/>
        </w:rPr>
        <w:t xml:space="preserve">урсно-индексным методом (Методика 2020 с изм.3 пр. 421 (в ред. приказов 557/пр., 55/пр., 30/пр. от 23.01.2025)), с уровнем цен на 2 квартал 2026 года по статьям затрат: на работы и материалы на основании письма Минстроя России от 08.04.2025 № 20212-ИФ/09: </w:t>
      </w:r>
      <w:r/>
    </w:p>
    <w:p>
      <w:pPr>
        <w:pStyle w:val="617"/>
        <w:contextualSpacing/>
        <w:ind w:left="0" w:right="0" w:firstLine="567"/>
        <w:jc w:val="both"/>
        <w:spacing w:before="0" w:beforeAutospacing="0" w:after="0" w:line="276" w:lineRule="auto"/>
        <w:widowControl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auto"/>
          <w:lang w:val="ru-RU" w:eastAsia="en-US" w:bidi="ar-SA"/>
        </w:rPr>
        <w:t xml:space="preserve">В локальной смете учтены: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r>
    </w:p>
    <w:p>
      <w:pPr>
        <w:pStyle w:val="617"/>
        <w:contextualSpacing/>
        <w:ind w:left="567" w:right="0" w:hanging="567"/>
        <w:jc w:val="both"/>
        <w:spacing w:before="0" w:beforeAutospacing="0" w:after="0" w:line="276" w:lineRule="auto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auto"/>
          <w:lang w:val="ru-RU" w:eastAsia="en-US" w:bidi="ar-SA"/>
        </w:rPr>
        <w:t xml:space="preserve">- объем сметной прибыли на СМР в размере 30% от ФОТ;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r>
    </w:p>
    <w:p>
      <w:pPr>
        <w:pStyle w:val="617"/>
        <w:contextualSpacing/>
        <w:ind w:left="567" w:right="0" w:hanging="567"/>
        <w:jc w:val="both"/>
        <w:spacing w:before="0" w:beforeAutospacing="0" w:after="0" w:line="276" w:lineRule="auto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auto"/>
          <w:lang w:val="ru-RU" w:eastAsia="en-US" w:bidi="ar-SA"/>
        </w:rPr>
        <w:t xml:space="preserve">- непредвиденные затраты в размере 3№;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r>
    </w:p>
    <w:p>
      <w:pPr>
        <w:pStyle w:val="617"/>
        <w:contextualSpacing/>
        <w:ind w:left="567" w:right="0" w:hanging="567"/>
        <w:jc w:val="both"/>
        <w:spacing w:before="0" w:beforeAutospacing="0" w:after="0" w:line="276" w:lineRule="auto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auto"/>
          <w:lang w:val="ru-RU" w:eastAsia="en-US" w:bidi="ar-SA"/>
        </w:rPr>
        <w:t xml:space="preserve">- командировочные затраты в размере 3,74 %;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r>
    </w:p>
    <w:p>
      <w:pPr>
        <w:pStyle w:val="617"/>
        <w:contextualSpacing/>
        <w:ind w:left="0" w:right="0" w:firstLine="0"/>
        <w:jc w:val="both"/>
        <w:spacing w:before="0" w:beforeAutospacing="0" w:after="0" w:line="276" w:lineRule="auto"/>
        <w:widowControl/>
        <w:tabs>
          <w:tab w:val="left" w:pos="165" w:leader="none"/>
          <w:tab w:val="left" w:pos="450" w:leader="none"/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auto"/>
          <w:lang w:val="ru-RU" w:eastAsia="en-US" w:bidi="ar-SA"/>
        </w:rPr>
        <w:t xml:space="preserve">- затраты на захоронение строительного мусора на полигоне КГУП "ПЭО" г. Владивосток, ул. Холмистая (приказ №009 от 20.01.2026) 1 т - 1922,52 руб;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r>
    </w:p>
    <w:p>
      <w:pPr>
        <w:pStyle w:val="617"/>
        <w:contextualSpacing/>
        <w:ind w:left="0" w:right="0" w:firstLine="0"/>
        <w:jc w:val="both"/>
        <w:spacing w:before="0" w:beforeAutospacing="0" w:after="0" w:line="276" w:lineRule="auto"/>
        <w:widowControl/>
        <w:tabs>
          <w:tab w:val="left" w:pos="165" w:leader="none"/>
          <w:tab w:val="left" w:pos="450" w:leader="none"/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auto"/>
          <w:lang w:val="ru-RU" w:eastAsia="en-US" w:bidi="ar-SA"/>
        </w:rPr>
        <w:t xml:space="preserve">- затраты на погрузочные работы и вывоз строительного мусора после демонтажа (ГТС. р. Артемовка - полигон "Холмистая" -   50 км.);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r>
    </w:p>
    <w:p>
      <w:pPr>
        <w:pStyle w:val="617"/>
        <w:contextualSpacing/>
        <w:ind w:left="0" w:right="0" w:firstLine="0"/>
        <w:jc w:val="both"/>
        <w:spacing w:before="0" w:beforeAutospacing="0" w:after="0" w:line="276" w:lineRule="auto"/>
        <w:widowControl/>
        <w:tabs>
          <w:tab w:val="left" w:pos="165" w:leader="none"/>
          <w:tab w:val="left" w:pos="450" w:leader="none"/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auto"/>
          <w:lang w:val="ru-RU" w:eastAsia="en-US" w:bidi="ar-SA"/>
        </w:rPr>
        <w:t xml:space="preserve">- затраты на погрузочные работы и вывоз строительного мусора после демонтажа (ГТС. р. Кучелинова падь - полигон "Холмистая" -   62 км.);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r>
    </w:p>
    <w:p>
      <w:pPr>
        <w:pStyle w:val="617"/>
        <w:contextualSpacing/>
        <w:ind w:left="0" w:right="0" w:firstLine="0"/>
        <w:jc w:val="both"/>
        <w:spacing w:before="0" w:beforeAutospacing="0" w:after="0" w:line="276" w:lineRule="auto"/>
        <w:widowControl/>
        <w:tabs>
          <w:tab w:val="left" w:pos="165" w:leader="none"/>
          <w:tab w:val="left" w:pos="450" w:leader="none"/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auto"/>
          <w:lang w:val="ru-RU" w:eastAsia="en-US" w:bidi="ar-SA"/>
        </w:rPr>
        <w:t xml:space="preserve">- затраты на погрузочные работы и вывоз механического оборудования после демонтажа (ГТС. р. Артемовка - СП "Артемовская ТЭЦ" -   5 км.)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shd w:val="clear" w:color="auto" w:fill="auto"/>
          <w:lang w:val="ru-RU" w:eastAsia="en-US" w:bidi="ar-SA"/>
        </w:rPr>
      </w:r>
    </w:p>
    <w:p>
      <w:pPr>
        <w:pStyle w:val="617"/>
        <w:ind w:left="0" w:right="0" w:firstLine="567"/>
        <w:jc w:val="left"/>
        <w:spacing w:before="0" w:beforeAutospacing="0" w:after="160" w:afterAutospacing="0" w:line="259" w:lineRule="auto"/>
        <w:widowControl/>
        <w:rPr>
          <w:highlight w:val="none"/>
          <w:shd w:val="clear" w:color="auto" w:fill="auto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szCs w:val="24"/>
          <w:u w:val="none"/>
          <w:shd w:val="clear" w:color="auto" w:fill="auto"/>
        </w:rPr>
        <w:t xml:space="preserve">Из смет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szCs w:val="24"/>
          <w:u w:val="none"/>
          <w:shd w:val="clear" w:color="auto" w:fill="auto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szCs w:val="24"/>
          <w:u w:val="none"/>
          <w:shd w:val="clear" w:color="auto" w:fill="auto"/>
        </w:rPr>
        <w:t xml:space="preserve">исключена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szCs w:val="24"/>
          <w:u w:val="none"/>
          <w:shd w:val="clear" w:color="auto" w:fill="auto"/>
        </w:rPr>
        <w:t xml:space="preserve">стоимость воды и электроэнергии Заказчика;</w:t>
      </w:r>
      <w:r>
        <w:rPr>
          <w:highlight w:val="none"/>
          <w:shd w:val="clear" w:color="auto" w:fill="auto"/>
        </w:rPr>
      </w:r>
    </w:p>
    <w:p>
      <w:pPr>
        <w:pStyle w:val="617"/>
        <w:ind w:left="567" w:right="0" w:hanging="567"/>
        <w:jc w:val="left"/>
        <w:rPr>
          <w:highlight w:val="none"/>
          <w:shd w:val="clear" w:color="auto" w:fill="ffff00"/>
        </w:rPr>
      </w:pPr>
      <w:r>
        <w:rPr>
          <w:shd w:val="clear" w:color="auto" w:fill="ffff00"/>
        </w:rPr>
      </w:r>
      <w:r>
        <w:rPr>
          <w:highlight w:val="none"/>
          <w:shd w:val="clear" w:color="auto" w:fill="ffff00"/>
        </w:rPr>
      </w:r>
    </w:p>
    <w:p>
      <w:pPr>
        <w:pStyle w:val="617"/>
        <w:contextualSpacing/>
        <w:ind w:right="0" w:firstLine="0"/>
        <w:jc w:val="both"/>
        <w:spacing w:before="0" w:beforeAutospacing="0" w:after="0" w:line="276" w:lineRule="auto"/>
        <w:tabs>
          <w:tab w:val="clear" w:pos="708" w:leader="none"/>
          <w:tab w:val="left" w:pos="1134" w:leader="none"/>
        </w:tabs>
        <w:rPr>
          <w:highlight w:val="none"/>
        </w:rPr>
      </w:pPr>
      <w:r/>
      <w:r>
        <w:rPr>
          <w:highlight w:val="none"/>
        </w:rPr>
      </w:r>
    </w:p>
    <w:p>
      <w:pPr>
        <w:pStyle w:val="617"/>
        <w:ind w:left="0" w:right="0" w:firstLine="0"/>
        <w:jc w:val="both"/>
        <w:spacing w:before="0" w:beforeAutospacing="0" w:after="0" w:line="276" w:lineRule="auto"/>
        <w:tabs>
          <w:tab w:val="clear" w:pos="708" w:leader="none"/>
          <w:tab w:val="left" w:pos="1134" w:leader="none"/>
        </w:tabs>
      </w:pPr>
      <w:r/>
      <w:r/>
    </w:p>
    <w:sectPr>
      <w:footnotePr/>
      <w:endnotePr/>
      <w:type w:val="nextPage"/>
      <w:pgSz w:w="11906" w:h="16838" w:orient="portrait"/>
      <w:pgMar w:top="1134" w:right="845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CJK SC">
    <w:panose1 w:val="020B0502040504020204"/>
  </w:font>
  <w:font w:name="Liberation Sans">
    <w:panose1 w:val="020B0604020202020204"/>
  </w:font>
  <w:font w:name="Times New Roman">
    <w:panose1 w:val="02020603050405020304"/>
  </w:font>
  <w:font w:name="Cambria">
    <w:panose1 w:val="0204080305040603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17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18">
    <w:name w:val="Heading 1"/>
    <w:basedOn w:val="6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19">
    <w:name w:val="Heading 2"/>
    <w:basedOn w:val="61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0">
    <w:name w:val="Heading 3"/>
    <w:basedOn w:val="6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1">
    <w:name w:val="Heading 4"/>
    <w:basedOn w:val="617"/>
    <w:uiPriority w:val="9"/>
    <w:semiHidden/>
    <w:unhideWhenUsed/>
    <w:qFormat/>
    <w:pPr>
      <w:keepLines/>
      <w:keepNext/>
      <w:spacing w:before="200" w:after="0"/>
      <w:outlineLvl w:val="3"/>
    </w:pPr>
    <w:rPr>
      <w:rFonts w:ascii="Cambria" w:hAnsi="Cambria" w:eastAsia="Arial" w:cs="Arial"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22">
    <w:name w:val="Heading 5"/>
    <w:basedOn w:val="6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3">
    <w:name w:val="Heading 6"/>
    <w:basedOn w:val="6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24">
    <w:name w:val="Heading 7"/>
    <w:basedOn w:val="6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25">
    <w:name w:val="Heading 8"/>
    <w:basedOn w:val="6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26">
    <w:name w:val="Heading 9"/>
    <w:basedOn w:val="6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>
    <w:name w:val="Heading 1 Char"/>
    <w:basedOn w:val="643"/>
    <w:uiPriority w:val="9"/>
    <w:qFormat/>
    <w:rPr>
      <w:rFonts w:ascii="Arial" w:hAnsi="Arial" w:eastAsia="Arial" w:cs="Arial"/>
      <w:sz w:val="40"/>
      <w:szCs w:val="40"/>
    </w:rPr>
  </w:style>
  <w:style w:type="character" w:styleId="628">
    <w:name w:val="Heading 2 Char"/>
    <w:basedOn w:val="643"/>
    <w:uiPriority w:val="9"/>
    <w:qFormat/>
    <w:rPr>
      <w:rFonts w:ascii="Arial" w:hAnsi="Arial" w:eastAsia="Arial" w:cs="Arial"/>
      <w:sz w:val="34"/>
    </w:rPr>
  </w:style>
  <w:style w:type="character" w:styleId="629">
    <w:name w:val="Heading 3 Char"/>
    <w:basedOn w:val="643"/>
    <w:uiPriority w:val="9"/>
    <w:qFormat/>
    <w:rPr>
      <w:rFonts w:ascii="Arial" w:hAnsi="Arial" w:eastAsia="Arial" w:cs="Arial"/>
      <w:sz w:val="30"/>
      <w:szCs w:val="30"/>
    </w:rPr>
  </w:style>
  <w:style w:type="character" w:styleId="630">
    <w:name w:val="Heading 5 Char"/>
    <w:basedOn w:val="643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1">
    <w:name w:val="Heading 6 Char"/>
    <w:basedOn w:val="643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2">
    <w:name w:val="Heading 7 Char"/>
    <w:basedOn w:val="643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3">
    <w:name w:val="Heading 8 Char"/>
    <w:basedOn w:val="643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4">
    <w:name w:val="Heading 9 Char"/>
    <w:basedOn w:val="643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5">
    <w:name w:val="Title Char"/>
    <w:basedOn w:val="643"/>
    <w:uiPriority w:val="10"/>
    <w:qFormat/>
    <w:rPr>
      <w:sz w:val="48"/>
      <w:szCs w:val="48"/>
    </w:rPr>
  </w:style>
  <w:style w:type="character" w:styleId="636">
    <w:name w:val="Subtitle Char"/>
    <w:basedOn w:val="643"/>
    <w:uiPriority w:val="11"/>
    <w:qFormat/>
    <w:rPr>
      <w:sz w:val="24"/>
      <w:szCs w:val="24"/>
    </w:rPr>
  </w:style>
  <w:style w:type="character" w:styleId="637">
    <w:name w:val="Quote Char"/>
    <w:uiPriority w:val="29"/>
    <w:qFormat/>
    <w:rPr>
      <w:i/>
    </w:rPr>
  </w:style>
  <w:style w:type="character" w:styleId="638">
    <w:name w:val="Intense Quote Char"/>
    <w:uiPriority w:val="30"/>
    <w:qFormat/>
    <w:rPr>
      <w:i/>
    </w:rPr>
  </w:style>
  <w:style w:type="character" w:styleId="639">
    <w:name w:val="Header Char"/>
    <w:basedOn w:val="643"/>
    <w:uiPriority w:val="99"/>
    <w:qFormat/>
  </w:style>
  <w:style w:type="character" w:styleId="640">
    <w:name w:val="Caption Char"/>
    <w:uiPriority w:val="99"/>
    <w:qFormat/>
  </w:style>
  <w:style w:type="character" w:styleId="641">
    <w:name w:val="Footnote Text Char"/>
    <w:uiPriority w:val="99"/>
    <w:qFormat/>
    <w:rPr>
      <w:sz w:val="18"/>
    </w:rPr>
  </w:style>
  <w:style w:type="character" w:styleId="642">
    <w:name w:val="Endnote Text Char"/>
    <w:uiPriority w:val="99"/>
    <w:qFormat/>
    <w:rPr>
      <w:sz w:val="20"/>
    </w:rPr>
  </w:style>
  <w:style w:type="character" w:styleId="643" w:default="1">
    <w:name w:val="Default Paragraph Font"/>
    <w:uiPriority w:val="1"/>
    <w:semiHidden/>
    <w:unhideWhenUsed/>
    <w:qFormat/>
  </w:style>
  <w:style w:type="character" w:styleId="644" w:customStyle="1">
    <w:name w:val="Заголовок 1 Знак"/>
    <w:basedOn w:val="643"/>
    <w:uiPriority w:val="9"/>
    <w:qFormat/>
    <w:rPr>
      <w:rFonts w:ascii="Arial" w:hAnsi="Arial" w:eastAsia="Arial" w:cs="Arial"/>
      <w:sz w:val="40"/>
      <w:szCs w:val="40"/>
    </w:rPr>
  </w:style>
  <w:style w:type="character" w:styleId="645" w:customStyle="1">
    <w:name w:val="Заголовок 2 Знак"/>
    <w:basedOn w:val="643"/>
    <w:uiPriority w:val="9"/>
    <w:qFormat/>
    <w:rPr>
      <w:rFonts w:ascii="Arial" w:hAnsi="Arial" w:eastAsia="Arial" w:cs="Arial"/>
      <w:sz w:val="34"/>
    </w:rPr>
  </w:style>
  <w:style w:type="character" w:styleId="646" w:customStyle="1">
    <w:name w:val="Заголовок 3 Знак"/>
    <w:basedOn w:val="643"/>
    <w:uiPriority w:val="9"/>
    <w:qFormat/>
    <w:rPr>
      <w:rFonts w:ascii="Arial" w:hAnsi="Arial" w:eastAsia="Arial" w:cs="Arial"/>
      <w:sz w:val="30"/>
      <w:szCs w:val="30"/>
    </w:rPr>
  </w:style>
  <w:style w:type="character" w:styleId="647" w:customStyle="1">
    <w:name w:val="Heading 4 Char"/>
    <w:basedOn w:val="643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48" w:customStyle="1">
    <w:name w:val="Заголовок 5 Знак"/>
    <w:basedOn w:val="643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49" w:customStyle="1">
    <w:name w:val="Заголовок 6 Знак"/>
    <w:basedOn w:val="643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50" w:customStyle="1">
    <w:name w:val="Заголовок 7 Знак"/>
    <w:basedOn w:val="643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51" w:customStyle="1">
    <w:name w:val="Заголовок 8 Знак"/>
    <w:basedOn w:val="643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52" w:customStyle="1">
    <w:name w:val="Заголовок 9 Знак"/>
    <w:basedOn w:val="643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53" w:customStyle="1">
    <w:name w:val="Название Знак"/>
    <w:basedOn w:val="643"/>
    <w:uiPriority w:val="10"/>
    <w:qFormat/>
    <w:rPr>
      <w:sz w:val="48"/>
      <w:szCs w:val="48"/>
    </w:rPr>
  </w:style>
  <w:style w:type="character" w:styleId="654" w:customStyle="1">
    <w:name w:val="Подзаголовок Знак"/>
    <w:basedOn w:val="643"/>
    <w:uiPriority w:val="11"/>
    <w:qFormat/>
    <w:rPr>
      <w:sz w:val="24"/>
      <w:szCs w:val="24"/>
    </w:rPr>
  </w:style>
  <w:style w:type="character" w:styleId="655" w:customStyle="1">
    <w:name w:val="Цитата 2 Знак"/>
    <w:uiPriority w:val="29"/>
    <w:qFormat/>
    <w:rPr>
      <w:i/>
    </w:rPr>
  </w:style>
  <w:style w:type="character" w:styleId="656" w:customStyle="1">
    <w:name w:val="Выделенная цитата Знак"/>
    <w:uiPriority w:val="30"/>
    <w:qFormat/>
    <w:rPr>
      <w:i/>
    </w:rPr>
  </w:style>
  <w:style w:type="character" w:styleId="657" w:customStyle="1">
    <w:name w:val="Верхний колонтитул Знак"/>
    <w:basedOn w:val="643"/>
    <w:uiPriority w:val="99"/>
    <w:qFormat/>
  </w:style>
  <w:style w:type="character" w:styleId="658" w:customStyle="1">
    <w:name w:val="Footer Char"/>
    <w:basedOn w:val="643"/>
    <w:uiPriority w:val="99"/>
    <w:qFormat/>
  </w:style>
  <w:style w:type="character" w:styleId="659" w:customStyle="1">
    <w:name w:val="Нижний колонтитул Знак"/>
    <w:uiPriority w:val="99"/>
    <w:qFormat/>
  </w:style>
  <w:style w:type="character" w:styleId="660">
    <w:name w:val="Hyperlink"/>
    <w:uiPriority w:val="99"/>
    <w:unhideWhenUsed/>
    <w:rPr>
      <w:color w:val="0000ff" w:themeColor="hyperlink"/>
      <w:u w:val="single"/>
    </w:rPr>
  </w:style>
  <w:style w:type="character" w:styleId="661" w:customStyle="1">
    <w:name w:val="Текст сноски Знак"/>
    <w:uiPriority w:val="99"/>
    <w:qFormat/>
    <w:rPr>
      <w:sz w:val="18"/>
    </w:rPr>
  </w:style>
  <w:style w:type="character" w:styleId="662">
    <w:name w:val="Символ сноски"/>
    <w:uiPriority w:val="99"/>
    <w:unhideWhenUsed/>
    <w:qFormat/>
    <w:rPr>
      <w:vertAlign w:val="superscript"/>
    </w:rPr>
  </w:style>
  <w:style w:type="character" w:styleId="663">
    <w:name w:val="footnote reference"/>
    <w:rPr>
      <w:vertAlign w:val="superscript"/>
    </w:rPr>
  </w:style>
  <w:style w:type="character" w:styleId="664" w:customStyle="1">
    <w:name w:val="Текст концевой сноски Знак"/>
    <w:uiPriority w:val="99"/>
    <w:qFormat/>
    <w:rPr>
      <w:sz w:val="20"/>
    </w:rPr>
  </w:style>
  <w:style w:type="character" w:styleId="66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66">
    <w:name w:val="endnote reference"/>
    <w:rPr>
      <w:vertAlign w:val="superscript"/>
    </w:rPr>
  </w:style>
  <w:style w:type="character" w:styleId="667" w:customStyle="1">
    <w:name w:val="Абзац списка Знак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8" w:customStyle="1">
    <w:name w:val="Заголовок 4 Знак"/>
    <w:basedOn w:val="643"/>
    <w:uiPriority w:val="9"/>
    <w:semiHidden/>
    <w:qFormat/>
    <w:rPr>
      <w:rFonts w:ascii="Cambria" w:hAnsi="Cambria" w:eastAsia="Arial" w:cs="Arial"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69" w:customStyle="1">
    <w:name w:val="annotation reference"/>
    <w:uiPriority w:val="99"/>
    <w:semiHidden/>
    <w:qFormat/>
    <w:rPr>
      <w:sz w:val="16"/>
      <w:szCs w:val="16"/>
    </w:rPr>
  </w:style>
  <w:style w:type="paragraph" w:styleId="670">
    <w:name w:val="Заголовок"/>
    <w:basedOn w:val="617"/>
    <w:next w:val="671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71">
    <w:name w:val="Body Text"/>
    <w:basedOn w:val="617"/>
    <w:pPr>
      <w:spacing w:before="0" w:after="140" w:line="276" w:lineRule="auto"/>
    </w:pPr>
  </w:style>
  <w:style w:type="paragraph" w:styleId="672">
    <w:name w:val="List"/>
    <w:basedOn w:val="671"/>
    <w:rPr>
      <w:rFonts w:cs="Arial Unicode MS"/>
    </w:rPr>
  </w:style>
  <w:style w:type="paragraph" w:styleId="673">
    <w:name w:val="Caption"/>
    <w:basedOn w:val="617"/>
    <w:link w:val="6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74">
    <w:name w:val="Указатель"/>
    <w:basedOn w:val="617"/>
    <w:qFormat/>
    <w:pPr>
      <w:suppressLineNumbers/>
    </w:pPr>
    <w:rPr>
      <w:rFonts w:cs="Arial Unicode MS"/>
    </w:rPr>
  </w:style>
  <w:style w:type="paragraph" w:styleId="675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76">
    <w:name w:val="Title"/>
    <w:basedOn w:val="61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77">
    <w:name w:val="Subtitle"/>
    <w:basedOn w:val="617"/>
    <w:uiPriority w:val="11"/>
    <w:qFormat/>
    <w:pPr>
      <w:spacing w:before="200" w:after="200"/>
    </w:pPr>
    <w:rPr>
      <w:sz w:val="24"/>
      <w:szCs w:val="24"/>
    </w:rPr>
  </w:style>
  <w:style w:type="paragraph" w:styleId="678">
    <w:name w:val="Quote"/>
    <w:basedOn w:val="617"/>
    <w:uiPriority w:val="29"/>
    <w:qFormat/>
    <w:pPr>
      <w:ind w:left="720" w:right="720" w:firstLine="0"/>
    </w:pPr>
    <w:rPr>
      <w:i/>
    </w:rPr>
  </w:style>
  <w:style w:type="paragraph" w:styleId="679">
    <w:name w:val="Intense Quote"/>
    <w:basedOn w:val="617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80">
    <w:name w:val="Колонтитул"/>
    <w:basedOn w:val="617"/>
    <w:qFormat/>
  </w:style>
  <w:style w:type="paragraph" w:styleId="681">
    <w:name w:val="Header"/>
    <w:basedOn w:val="61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82">
    <w:name w:val="Footer"/>
    <w:basedOn w:val="61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83">
    <w:name w:val="footnote text"/>
    <w:basedOn w:val="61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84">
    <w:name w:val="endnote text"/>
    <w:basedOn w:val="61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85">
    <w:name w:val="toc 1"/>
    <w:basedOn w:val="617"/>
    <w:uiPriority w:val="39"/>
    <w:unhideWhenUsed/>
    <w:pPr>
      <w:spacing w:before="0" w:after="57"/>
    </w:pPr>
  </w:style>
  <w:style w:type="paragraph" w:styleId="686">
    <w:name w:val="toc 2"/>
    <w:basedOn w:val="617"/>
    <w:uiPriority w:val="39"/>
    <w:unhideWhenUsed/>
    <w:pPr>
      <w:ind w:left="283" w:firstLine="0"/>
      <w:spacing w:before="0" w:after="57"/>
    </w:pPr>
  </w:style>
  <w:style w:type="paragraph" w:styleId="687">
    <w:name w:val="toc 3"/>
    <w:basedOn w:val="617"/>
    <w:uiPriority w:val="39"/>
    <w:unhideWhenUsed/>
    <w:pPr>
      <w:ind w:left="567" w:firstLine="0"/>
      <w:spacing w:before="0" w:after="57"/>
    </w:pPr>
  </w:style>
  <w:style w:type="paragraph" w:styleId="688">
    <w:name w:val="toc 4"/>
    <w:basedOn w:val="617"/>
    <w:uiPriority w:val="39"/>
    <w:unhideWhenUsed/>
    <w:pPr>
      <w:ind w:left="850" w:firstLine="0"/>
      <w:spacing w:before="0" w:after="57"/>
    </w:pPr>
  </w:style>
  <w:style w:type="paragraph" w:styleId="689">
    <w:name w:val="toc 5"/>
    <w:basedOn w:val="617"/>
    <w:uiPriority w:val="39"/>
    <w:unhideWhenUsed/>
    <w:pPr>
      <w:ind w:left="1134" w:firstLine="0"/>
      <w:spacing w:before="0" w:after="57"/>
    </w:pPr>
  </w:style>
  <w:style w:type="paragraph" w:styleId="690">
    <w:name w:val="toc 6"/>
    <w:basedOn w:val="617"/>
    <w:uiPriority w:val="39"/>
    <w:unhideWhenUsed/>
    <w:pPr>
      <w:ind w:left="1417" w:firstLine="0"/>
      <w:spacing w:before="0" w:after="57"/>
    </w:pPr>
  </w:style>
  <w:style w:type="paragraph" w:styleId="691">
    <w:name w:val="toc 7"/>
    <w:basedOn w:val="617"/>
    <w:uiPriority w:val="39"/>
    <w:unhideWhenUsed/>
    <w:pPr>
      <w:ind w:left="1701" w:firstLine="0"/>
      <w:spacing w:before="0" w:after="57"/>
    </w:pPr>
  </w:style>
  <w:style w:type="paragraph" w:styleId="692">
    <w:name w:val="toc 8"/>
    <w:basedOn w:val="617"/>
    <w:uiPriority w:val="39"/>
    <w:unhideWhenUsed/>
    <w:pPr>
      <w:ind w:left="1984" w:firstLine="0"/>
      <w:spacing w:before="0" w:after="57"/>
    </w:pPr>
  </w:style>
  <w:style w:type="paragraph" w:styleId="693">
    <w:name w:val="toc 9"/>
    <w:basedOn w:val="617"/>
    <w:uiPriority w:val="39"/>
    <w:unhideWhenUsed/>
    <w:pPr>
      <w:ind w:left="2268" w:firstLine="0"/>
      <w:spacing w:before="0" w:after="57"/>
    </w:pPr>
  </w:style>
  <w:style w:type="paragraph" w:styleId="694">
    <w:name w:val="Index Heading"/>
    <w:basedOn w:val="670"/>
  </w:style>
  <w:style w:type="paragraph" w:styleId="695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96">
    <w:name w:val="table of figures"/>
    <w:basedOn w:val="617"/>
    <w:uiPriority w:val="99"/>
    <w:unhideWhenUsed/>
    <w:qFormat/>
    <w:pPr>
      <w:spacing w:before="0" w:after="0"/>
    </w:pPr>
  </w:style>
  <w:style w:type="paragraph" w:styleId="697">
    <w:name w:val="List Paragraph"/>
    <w:basedOn w:val="617"/>
    <w:uiPriority w:val="34"/>
    <w:qFormat/>
    <w:pPr>
      <w:contextualSpacing/>
      <w:ind w:left="720" w:firstLine="0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698" w:default="1">
    <w:name w:val="No List"/>
    <w:uiPriority w:val="99"/>
    <w:semiHidden/>
    <w:unhideWhenUsed/>
    <w:qFormat/>
  </w:style>
  <w:style w:type="table" w:styleId="699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2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3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d8d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29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30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a59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31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32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4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4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4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4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4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4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48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63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64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65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66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67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68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69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4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1cddc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9bf90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0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9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79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79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79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79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797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9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79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0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80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0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80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0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0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0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0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0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0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1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1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1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1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1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1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1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1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18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19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21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22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23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24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2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</dc:creator>
  <dc:description/>
  <dc:language>ru-RU</dc:language>
  <cp:lastModifiedBy>krischenko_pi</cp:lastModifiedBy>
  <cp:revision>59</cp:revision>
  <dcterms:created xsi:type="dcterms:W3CDTF">2023-01-09T03:08:00Z</dcterms:created>
  <dcterms:modified xsi:type="dcterms:W3CDTF">2026-07-08T07:41:28Z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